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pStyle w:val="30"/>
        <w:jc w:val="center"/>
      </w:pPr>
      <w:r>
        <w:rPr>
          <w:color w:val="6B7280"/>
        </w:rPr>
        <w:t>Ответы:</w:t>
      </w:r>
      <w:r>
        <w:t xml:space="preserve"> ЕГЭ по физике</w:t>
      </w:r>
    </w:p>
    <w:p>
      <w:pPr>
        <w:pStyle w:val="aa"/>
        <w:ind w:left="0" w:right="0"/>
      </w:pPr>
      <w:r/>
      <w:r>
        <w:t xml:space="preserve">   1   </w:t>
      </w:r>
    </w:p>
    <w:p>
      <w:pPr>
        <w:ind w:left="0" w:right="0"/>
      </w:pPr>
      <w:r/>
    </w:p>
    <w:p>
      <w:pPr>
        <w:ind w:left="0" w:right="0"/>
      </w:pPr>
      <w:r/>
      <w:r>
        <w:t>-4</w:t>
      </w:r>
    </w:p>
    <w:p>
      <w:pPr>
        <w:pStyle w:val="aa"/>
        <w:ind w:left="0" w:right="0"/>
      </w:pPr>
      <w:r/>
      <w:r>
        <w:t xml:space="preserve">   2   </w:t>
      </w:r>
    </w:p>
    <w:p>
      <w:pPr>
        <w:ind w:left="0" w:right="0"/>
      </w:pPr>
      <w:r/>
    </w:p>
    <w:p>
      <w:pPr>
        <w:ind w:left="0" w:right="0"/>
      </w:pPr>
      <w:r/>
      <w:r>
        <w:t>0,5</w:t>
      </w:r>
    </w:p>
    <w:p>
      <w:pPr>
        <w:pStyle w:val="aa"/>
        <w:ind w:left="0" w:right="0"/>
      </w:pPr>
      <w:r/>
      <w:r>
        <w:t xml:space="preserve">   3   </w:t>
      </w:r>
    </w:p>
    <w:p>
      <w:pPr>
        <w:ind w:left="0" w:right="0"/>
      </w:pPr>
      <w:r/>
    </w:p>
    <w:p>
      <w:pPr>
        <w:ind w:left="0" w:right="0"/>
      </w:pPr>
      <w:r/>
      <w:r>
        <w:t>3</w:t>
      </w:r>
    </w:p>
    <w:p>
      <w:pPr>
        <w:pStyle w:val="aa"/>
        <w:ind w:left="0" w:right="0"/>
      </w:pPr>
      <w:r/>
      <w:r>
        <w:t xml:space="preserve">   4   </w:t>
      </w:r>
    </w:p>
    <w:p>
      <w:pPr>
        <w:ind w:left="0" w:right="0"/>
      </w:pPr>
      <w:r/>
    </w:p>
    <w:p>
      <w:pPr>
        <w:ind w:left="0" w:right="0"/>
      </w:pPr>
      <w:r/>
      <w:r>
        <w:t>2960</w:t>
      </w:r>
    </w:p>
    <w:p>
      <w:pPr>
        <w:pStyle w:val="aa"/>
        <w:ind w:left="0" w:right="0"/>
      </w:pPr>
      <w:r/>
      <w:r>
        <w:t xml:space="preserve">   5   </w:t>
      </w:r>
    </w:p>
    <w:p>
      <w:pPr>
        <w:ind w:left="0" w:right="0"/>
      </w:pPr>
      <w:r/>
    </w:p>
    <w:p>
      <w:pPr>
        <w:ind w:left="0" w:right="0"/>
      </w:pPr>
      <w:r/>
      <w:r>
        <w:t>34</w:t>
      </w:r>
    </w:p>
    <w:p>
      <w:pPr>
        <w:pStyle w:val="aa"/>
        <w:ind w:left="0" w:right="0"/>
      </w:pPr>
      <w:r/>
      <w:r>
        <w:t xml:space="preserve">   6   </w:t>
      </w:r>
    </w:p>
    <w:p>
      <w:pPr>
        <w:ind w:left="0" w:right="0"/>
      </w:pPr>
      <w:r/>
    </w:p>
    <w:p>
      <w:pPr>
        <w:ind w:left="0" w:right="0"/>
      </w:pPr>
      <w:r/>
      <w:r>
        <w:t>14</w:t>
      </w:r>
    </w:p>
    <w:p>
      <w:pPr>
        <w:pStyle w:val="aa"/>
        <w:ind w:left="0" w:right="0"/>
      </w:pPr>
      <w:r/>
      <w:r>
        <w:t xml:space="preserve">   7   </w:t>
      </w:r>
    </w:p>
    <w:p>
      <w:pPr>
        <w:ind w:left="0" w:right="0"/>
      </w:pPr>
      <w:r/>
    </w:p>
    <w:p>
      <w:pPr>
        <w:ind w:left="0" w:right="0"/>
      </w:pPr>
      <w:r/>
      <w:r>
        <w:t>200</w:t>
      </w:r>
    </w:p>
    <w:p>
      <w:pPr>
        <w:pStyle w:val="aa"/>
        <w:ind w:left="0" w:right="0"/>
      </w:pPr>
      <w:r/>
      <w:r>
        <w:t xml:space="preserve">   8   </w:t>
      </w:r>
    </w:p>
    <w:p>
      <w:pPr>
        <w:ind w:left="0" w:right="0"/>
      </w:pPr>
      <w:r/>
    </w:p>
    <w:p>
      <w:pPr>
        <w:ind w:left="0" w:right="0"/>
      </w:pPr>
      <w:r/>
      <w:r>
        <w:t>5,6</w:t>
      </w:r>
    </w:p>
    <w:p>
      <w:pPr>
        <w:pStyle w:val="aa"/>
        <w:ind w:left="0" w:right="0"/>
      </w:pPr>
      <w:r/>
      <w:r>
        <w:t xml:space="preserve">   9   </w:t>
      </w:r>
    </w:p>
    <w:p>
      <w:pPr>
        <w:ind w:left="0" w:right="0"/>
      </w:pPr>
      <w:r/>
    </w:p>
    <w:p>
      <w:pPr>
        <w:ind w:left="0" w:right="0"/>
      </w:pPr>
      <w:r/>
      <w:r>
        <w:t>135</w:t>
      </w:r>
    </w:p>
    <w:p>
      <w:pPr>
        <w:pStyle w:val="aa"/>
        <w:ind w:left="0" w:right="0"/>
      </w:pPr>
      <w:r/>
      <w:r>
        <w:t xml:space="preserve">  10  </w:t>
      </w:r>
    </w:p>
    <w:p>
      <w:pPr>
        <w:ind w:left="0" w:right="0"/>
      </w:pPr>
      <w:r/>
    </w:p>
    <w:p>
      <w:pPr>
        <w:ind w:left="0" w:right="0"/>
      </w:pPr>
      <w:r/>
      <w:r>
        <w:t>23</w:t>
      </w:r>
    </w:p>
    <w:p>
      <w:pPr>
        <w:pStyle w:val="aa"/>
        <w:ind w:left="0" w:right="0"/>
      </w:pPr>
      <w:r/>
      <w:r>
        <w:t xml:space="preserve">  11  </w:t>
      </w:r>
    </w:p>
    <w:p>
      <w:pPr>
        <w:ind w:left="0" w:right="0"/>
      </w:pPr>
      <w:r/>
    </w:p>
    <w:p>
      <w:pPr>
        <w:ind w:left="0" w:right="0"/>
      </w:pPr>
      <w:r/>
      <w:r>
        <w:t>17,7</w:t>
      </w:r>
    </w:p>
    <w:p>
      <w:pPr>
        <w:pStyle w:val="aa"/>
        <w:ind w:left="0" w:right="0"/>
      </w:pPr>
      <w:r/>
      <w:r>
        <w:t xml:space="preserve">  12  </w:t>
      </w:r>
    </w:p>
    <w:p>
      <w:pPr>
        <w:ind w:left="0" w:right="0"/>
      </w:pPr>
      <w:r/>
    </w:p>
    <w:p>
      <w:pPr>
        <w:ind w:left="0" w:right="0"/>
      </w:pPr>
      <w:r/>
      <w:r>
        <w:t>9</w:t>
      </w:r>
    </w:p>
    <w:p>
      <w:pPr>
        <w:pStyle w:val="aa"/>
        <w:ind w:left="0" w:right="0"/>
      </w:pPr>
      <w:r/>
      <w:r>
        <w:t xml:space="preserve">  13  </w:t>
      </w:r>
    </w:p>
    <w:p>
      <w:pPr>
        <w:ind w:left="0" w:right="0"/>
      </w:pPr>
      <w:r/>
    </w:p>
    <w:p>
      <w:pPr>
        <w:ind w:left="0" w:right="0"/>
      </w:pPr>
      <w:r/>
      <w:r>
        <w:t>1</w:t>
      </w:r>
    </w:p>
    <w:p>
      <w:pPr>
        <w:pStyle w:val="aa"/>
        <w:ind w:left="0" w:right="0"/>
      </w:pPr>
      <w:r/>
      <w:r>
        <w:t xml:space="preserve">  14  </w:t>
      </w:r>
    </w:p>
    <w:p>
      <w:pPr>
        <w:ind w:left="0" w:right="0"/>
      </w:pPr>
      <w:r/>
    </w:p>
    <w:p>
      <w:pPr>
        <w:ind w:left="0" w:right="0"/>
      </w:pPr>
      <w:r/>
      <w:r>
        <w:t>134</w:t>
      </w:r>
    </w:p>
    <w:p>
      <w:pPr>
        <w:pStyle w:val="aa"/>
        <w:ind w:left="0" w:right="0"/>
      </w:pPr>
      <w:r/>
      <w:r>
        <w:t xml:space="preserve">  15  </w:t>
      </w:r>
    </w:p>
    <w:p>
      <w:pPr>
        <w:ind w:left="0" w:right="0"/>
      </w:pPr>
      <w:r/>
    </w:p>
    <w:p>
      <w:pPr>
        <w:ind w:left="0" w:right="0"/>
      </w:pPr>
      <w:r/>
      <w:r>
        <w:t>11</w:t>
      </w:r>
    </w:p>
    <w:p>
      <w:pPr>
        <w:pStyle w:val="aa"/>
        <w:ind w:left="0" w:right="0"/>
      </w:pPr>
      <w:r/>
      <w:r>
        <w:t xml:space="preserve">  16  </w:t>
      </w:r>
    </w:p>
    <w:p>
      <w:pPr>
        <w:ind w:left="0" w:right="0"/>
      </w:pPr>
      <w:r/>
    </w:p>
    <w:p>
      <w:pPr>
        <w:ind w:left="0" w:right="0"/>
      </w:pPr>
      <w:r/>
      <w:r>
        <w:t>90</w:t>
      </w:r>
    </w:p>
    <w:p>
      <w:pPr>
        <w:pStyle w:val="aa"/>
        <w:ind w:left="0" w:right="0"/>
      </w:pPr>
      <w:r/>
      <w:r>
        <w:t xml:space="preserve">  17  </w:t>
      </w:r>
    </w:p>
    <w:p>
      <w:pPr>
        <w:ind w:left="0" w:right="0"/>
      </w:pPr>
      <w:r/>
    </w:p>
    <w:p>
      <w:pPr>
        <w:ind w:left="0" w:right="0"/>
      </w:pPr>
      <w:r/>
      <w:r>
        <w:t>21</w:t>
      </w:r>
    </w:p>
    <w:p>
      <w:pPr>
        <w:pStyle w:val="aa"/>
        <w:ind w:left="0" w:right="0"/>
      </w:pPr>
      <w:r/>
      <w:r>
        <w:t xml:space="preserve">  18  </w:t>
      </w:r>
    </w:p>
    <w:p>
      <w:pPr>
        <w:ind w:left="0" w:right="0"/>
      </w:pPr>
      <w:r/>
    </w:p>
    <w:p>
      <w:pPr>
        <w:ind w:left="0" w:right="0"/>
      </w:pPr>
      <w:r/>
      <w:r>
        <w:t>23</w:t>
      </w:r>
    </w:p>
    <w:p>
      <w:pPr>
        <w:pStyle w:val="aa"/>
        <w:ind w:left="0" w:right="0"/>
      </w:pPr>
      <w:r/>
      <w:r>
        <w:t xml:space="preserve">  19  </w:t>
      </w:r>
    </w:p>
    <w:p>
      <w:pPr>
        <w:ind w:left="0" w:right="0"/>
      </w:pPr>
      <w:r/>
    </w:p>
    <w:p>
      <w:pPr>
        <w:ind w:left="0" w:right="0"/>
      </w:pPr>
      <w:r/>
      <w:r>
        <w:t>(9,0 ± 1,5)</w:t>
      </w:r>
    </w:p>
    <w:p>
      <w:pPr>
        <w:pStyle w:val="aa"/>
        <w:ind w:left="0" w:right="0"/>
      </w:pPr>
      <w:r/>
      <w:r>
        <w:t xml:space="preserve">  20  </w:t>
      </w:r>
    </w:p>
    <w:p>
      <w:pPr>
        <w:ind w:left="0" w:right="0"/>
      </w:pPr>
      <w:r/>
    </w:p>
    <w:p>
      <w:pPr>
        <w:ind w:left="0" w:right="0"/>
      </w:pPr>
      <w:r/>
      <w:r>
        <w:t>24</w:t>
      </w:r>
    </w:p>
    <w:p>
      <w:pPr>
        <w:pStyle w:val="aa"/>
        <w:ind w:left="0" w:right="0"/>
      </w:pPr>
      <w:r/>
      <w:r>
        <w:t xml:space="preserve">  21  </w:t>
      </w:r>
    </w:p>
    <w:p>
      <w:pPr>
        <w:ind w:left="0" w:right="0"/>
      </w:pPr>
      <w:r/>
    </w:p>
    <w:p>
      <w:pPr>
        <w:ind w:left="0" w:right="0"/>
      </w:pPr>
      <w:r/>
      <w:r>
        <w:rPr>
          <w:b/>
        </w:rPr>
        <w:t>Возможное решение</w:t>
      </w:r>
    </w:p>
    <w:p>
      <w:pPr>
        <w:ind w:left="0" w:right="0"/>
      </w:pPr>
      <w:r/>
      <w:r>
        <w:t>1. Электрическая ёмкость плоского конденсатора равна C = ε</w:t>
      </w:r>
      <w:r>
        <w:rPr>
          <w:vertAlign w:val="subscript"/>
        </w:rPr>
        <w:t>0</w:t>
      </w:r>
      <w:r>
        <w:t>ε S/d , где S – площадь пластины конденсатора, d – расстояние между пластинами, ε – диэлектрическая проницаемость материала, находящегося между пластинами, ε</w:t>
      </w:r>
      <w:r>
        <w:rPr>
          <w:vertAlign w:val="subscript"/>
        </w:rPr>
        <w:t>0</w:t>
      </w:r>
      <w:r>
        <w:t xml:space="preserve"> = 1/(4πk) ≈ 8,85⋅10</w:t>
      </w:r>
      <w:r>
        <w:rPr>
          <w:vertAlign w:val="superscript"/>
        </w:rPr>
        <w:t>–12</w:t>
      </w:r>
      <w:r>
        <w:t xml:space="preserve"> Ф/м (k – коэффициент пропорциональности в законе Кулона). Поэтому при внесении в пространство между пластинами конденсатора диэлектрической пластины ёмкость конденсатора будет увеличиваться.</w:t>
        <w:br/>
      </w:r>
      <w:r>
        <w:t>2. Поскольку сопротивление резистора очень мало, то частота ω</w:t>
      </w:r>
      <w:r>
        <w:rPr>
          <w:vertAlign w:val="subscript"/>
        </w:rPr>
        <w:t>0</w:t>
      </w:r>
      <w:r>
        <w:t xml:space="preserve"> близка к частоте идеального колебательного конура: ω</w:t>
      </w:r>
      <w:r>
        <w:rPr>
          <w:vertAlign w:val="subscript"/>
        </w:rPr>
        <w:t>0</w:t>
      </w:r>
      <w:r>
        <w:t xml:space="preserve"> ≈1√LC . При увеличении ёмкости конденсатора частота ω</w:t>
      </w:r>
      <w:r>
        <w:rPr>
          <w:vertAlign w:val="subscript"/>
        </w:rPr>
        <w:t>0</w:t>
      </w:r>
      <w:r>
        <w:t xml:space="preserve"> будет уменьшаться.</w:t>
        <w:br/>
      </w:r>
      <w:r>
        <w:t>3. Так как в электрической цепи наблюдается резонанс, частота ω изменения ЭДС источника напряжения близка к частоте ω0 собственных колебаний контура. При резонансе амплитуда колебаний напряжения на конденсаторе имеет максимальную величину. В случае несовпадения частот ω и ω</w:t>
      </w:r>
      <w:r>
        <w:rPr>
          <w:vertAlign w:val="subscript"/>
        </w:rPr>
        <w:t>0</w:t>
      </w:r>
      <w:r>
        <w:t xml:space="preserve"> амплитуда колебаний напряжения на конденсаторе меньше, чем при резонансе.</w:t>
        <w:br/>
      </w:r>
      <w:r>
        <w:t>4. Поэтому при уменьшении частоты ω0 показания вольтметра будут уменьшаться.</w:t>
      </w:r>
    </w:p>
    <w:p>
      <w:pPr>
        <w:pStyle w:val="aa"/>
        <w:ind w:left="0" w:right="0"/>
      </w:pPr>
      <w:r/>
      <w:r>
        <w:t xml:space="preserve">  22  </w:t>
      </w:r>
    </w:p>
    <w:p>
      <w:pPr>
        <w:ind w:left="0" w:right="0"/>
      </w:pPr>
      <w:r/>
    </w:p>
    <w:p>
      <w:pPr>
        <w:ind w:left="0" w:right="0"/>
      </w:pPr>
      <w:r/>
      <w:r>
        <w:drawing>
          <wp:inline xmlns:a="http://schemas.openxmlformats.org/drawingml/2006/main" xmlns:pic="http://schemas.openxmlformats.org/drawingml/2006/picture">
            <wp:extent cx="5762625" cy="1114425"/>
            <wp:docPr id="1" name="Picture 1"/>
            <wp:cNvGraphicFramePr>
              <a:graphicFrameLocks noChangeAspect="1"/>
            </wp:cNvGraphicFramePr>
            <a:graphic>
              <a:graphicData uri="http://schemas.openxmlformats.org/drawingml/2006/picture">
                <pic:pic>
                  <pic:nvPicPr>
                    <pic:cNvPr id="0" name="image.png"/>
                    <pic:cNvPicPr/>
                  </pic:nvPicPr>
                  <pic:blipFill>
                    <a:blip r:embed="rId11"/>
                    <a:stretch>
                      <a:fillRect/>
                    </a:stretch>
                  </pic:blipFill>
                  <pic:spPr>
                    <a:xfrm>
                      <a:off x="0" y="0"/>
                      <a:ext cx="5762625" cy="1114425"/>
                    </a:xfrm>
                    <a:prstGeom prst="rect"/>
                  </pic:spPr>
                </pic:pic>
              </a:graphicData>
            </a:graphic>
          </wp:inline>
        </w:drawing>
      </w:r>
    </w:p>
    <w:p>
      <w:pPr>
        <w:pStyle w:val="aa"/>
        <w:ind w:left="0" w:right="0"/>
      </w:pPr>
      <w:r/>
      <w:r>
        <w:t xml:space="preserve">  23  </w:t>
      </w:r>
    </w:p>
    <w:p>
      <w:pPr>
        <w:ind w:left="0" w:right="0"/>
      </w:pPr>
      <w:r/>
    </w:p>
    <w:p>
      <w:pPr>
        <w:ind w:left="0" w:right="0"/>
      </w:pPr>
      <w:r/>
      <w:r>
        <w:rPr>
          <w:b/>
        </w:rPr>
        <w:t>Возможное решение</w:t>
      </w:r>
    </w:p>
    <w:p>
      <w:pPr>
        <w:ind w:left="0" w:right="0"/>
      </w:pPr>
      <w:r/>
      <w:r>
        <w:drawing>
          <wp:inline xmlns:a="http://schemas.openxmlformats.org/drawingml/2006/main" xmlns:pic="http://schemas.openxmlformats.org/drawingml/2006/picture">
            <wp:extent cx="5457825" cy="2571750"/>
            <wp:docPr id="2" name="Picture 2"/>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457825" cy="2571750"/>
                    </a:xfrm>
                    <a:prstGeom prst="rect"/>
                  </pic:spPr>
                </pic:pic>
              </a:graphicData>
            </a:graphic>
          </wp:inline>
        </w:drawing>
      </w:r>
      <w:r>
        <w:drawing>
          <wp:inline xmlns:a="http://schemas.openxmlformats.org/drawingml/2006/main" xmlns:pic="http://schemas.openxmlformats.org/drawingml/2006/picture">
            <wp:extent cx="5457825" cy="1981200"/>
            <wp:docPr id="3" name="Picture 3"/>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457825" cy="1981200"/>
                    </a:xfrm>
                    <a:prstGeom prst="rect"/>
                  </pic:spPr>
                </pic:pic>
              </a:graphicData>
            </a:graphic>
          </wp:inline>
        </w:drawing>
      </w:r>
    </w:p>
    <w:p>
      <w:pPr>
        <w:pStyle w:val="aa"/>
        <w:ind w:left="0" w:right="0"/>
      </w:pPr>
      <w:r/>
      <w:r>
        <w:t xml:space="preserve">  24  </w:t>
      </w:r>
    </w:p>
    <w:p>
      <w:pPr>
        <w:ind w:left="0" w:right="0"/>
      </w:pPr>
      <w:r/>
    </w:p>
    <w:p>
      <w:pPr>
        <w:ind w:left="0" w:right="0"/>
      </w:pPr>
      <w:r/>
      <w:r>
        <w:rPr>
          <w:b/>
        </w:rPr>
        <w:t>Возможное решение</w:t>
      </w:r>
    </w:p>
    <w:p>
      <w:pPr>
        <w:ind w:left="0" w:right="0"/>
      </w:pPr>
      <w:r/>
      <w:r>
        <w:drawing>
          <wp:inline xmlns:a="http://schemas.openxmlformats.org/drawingml/2006/main" xmlns:pic="http://schemas.openxmlformats.org/drawingml/2006/picture">
            <wp:extent cx="4972050" cy="476250"/>
            <wp:docPr id="4" name="Picture 4"/>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4972050" cy="476250"/>
                    </a:xfrm>
                    <a:prstGeom prst="rect"/>
                  </pic:spPr>
                </pic:pic>
              </a:graphicData>
            </a:graphic>
          </wp:inline>
        </w:drawing>
      </w:r>
    </w:p>
    <w:p>
      <w:pPr>
        <w:ind w:left="0" w:right="0"/>
      </w:pPr>
      <w:r/>
      <w:r>
        <w:drawing>
          <wp:inline xmlns:a="http://schemas.openxmlformats.org/drawingml/2006/main" xmlns:pic="http://schemas.openxmlformats.org/drawingml/2006/picture">
            <wp:extent cx="5095875" cy="2343150"/>
            <wp:docPr id="5" name="Picture 5"/>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5095875" cy="2343150"/>
                    </a:xfrm>
                    <a:prstGeom prst="rect"/>
                  </pic:spPr>
                </pic:pic>
              </a:graphicData>
            </a:graphic>
          </wp:inline>
        </w:drawing>
      </w:r>
    </w:p>
    <w:p>
      <w:pPr>
        <w:ind w:left="0" w:right="0"/>
      </w:pPr>
      <w:r/>
      <w:r>
        <w:drawing>
          <wp:inline xmlns:a="http://schemas.openxmlformats.org/drawingml/2006/main" xmlns:pic="http://schemas.openxmlformats.org/drawingml/2006/picture">
            <wp:extent cx="5019675" cy="2428875"/>
            <wp:docPr id="6" name="Picture 6"/>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019675" cy="2428875"/>
                    </a:xfrm>
                    <a:prstGeom prst="rect"/>
                  </pic:spPr>
                </pic:pic>
              </a:graphicData>
            </a:graphic>
          </wp:inline>
        </w:drawing>
      </w:r>
    </w:p>
    <w:p>
      <w:pPr>
        <w:pStyle w:val="aa"/>
        <w:ind w:left="0" w:right="0"/>
      </w:pPr>
      <w:r/>
      <w:r>
        <w:t xml:space="preserve">  25  </w:t>
      </w:r>
    </w:p>
    <w:p>
      <w:pPr>
        <w:ind w:left="0" w:right="0"/>
      </w:pPr>
      <w:r/>
    </w:p>
    <w:p>
      <w:pPr>
        <w:ind w:left="0" w:right="0"/>
      </w:pPr>
      <w:r/>
      <w:r>
        <w:rPr>
          <w:b/>
        </w:rPr>
        <w:t>Возможное решение</w:t>
      </w:r>
    </w:p>
    <w:p>
      <w:pPr>
        <w:ind w:left="0" w:right="0"/>
      </w:pPr>
      <w:r/>
      <w:r>
        <w:drawing>
          <wp:inline xmlns:a="http://schemas.openxmlformats.org/drawingml/2006/main" xmlns:pic="http://schemas.openxmlformats.org/drawingml/2006/picture">
            <wp:extent cx="5524500" cy="5305425"/>
            <wp:docPr id="7" name="Picture 7"/>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5524500" cy="5305425"/>
                    </a:xfrm>
                    <a:prstGeom prst="rect"/>
                  </pic:spPr>
                </pic:pic>
              </a:graphicData>
            </a:graphic>
          </wp:inline>
        </w:drawing>
      </w:r>
    </w:p>
    <w:p>
      <w:pPr>
        <w:pStyle w:val="aa"/>
        <w:ind w:left="0" w:right="0"/>
      </w:pPr>
      <w:r/>
      <w:r>
        <w:t xml:space="preserve">  26  </w:t>
      </w:r>
    </w:p>
    <w:p>
      <w:pPr>
        <w:ind w:left="0" w:right="0"/>
      </w:pPr>
      <w:r/>
    </w:p>
    <w:p>
      <w:pPr>
        <w:ind w:left="0" w:right="0"/>
      </w:pPr>
      <w:r/>
      <w:r>
        <w:rPr>
          <w:b/>
        </w:rPr>
        <w:t>Возможное решение</w:t>
      </w:r>
    </w:p>
    <w:p>
      <w:pPr>
        <w:ind w:left="0" w:right="0"/>
      </w:pPr>
      <w:r/>
      <w:r>
        <w:t xml:space="preserve">Обоснование </w:t>
        <w:br/>
      </w:r>
      <w:r>
        <w:t xml:space="preserve">Для описания разрыва снаряда использован закон сохранения импульса системы тел. Он выполняется в инерциальной системе отсчёта, если сумма внешних сил, приложенных к телам системы, равна нулю. В данном случае из-за отсутствия сопротивления воздуха внешней силой является только сила тяжести </w:t>
      </w:r>
      <w:r>
        <w:rPr>
          <w:i/>
        </w:rPr>
        <w:t>mg</w:t>
      </w:r>
      <w:r>
        <w:t>, которая не равна нулю. Но этим можно пренебречь, считая время разрыва снаряда малым. За малое время разрыва импульс каждого из осколков меняется на конечную величину за счёт больших внутренних сил, разрывающих снаряд при взрыве. По сравнению с этими большими силами конечная сила тяжести пренебрежимо мала. Так как время разрыва снаряда считаем малым, то можно пренебречь и изменением потенциальной энергии снаряда и его осколков в поле тяжести в процессе разрыва. В инерциальной системе отсчета выполняется закон сохранения импульса тел.</w:t>
      </w:r>
    </w:p>
    <w:p>
      <w:pPr>
        <w:ind w:left="0" w:right="0"/>
      </w:pPr>
      <w:r/>
      <w:r>
        <w:drawing>
          <wp:inline xmlns:a="http://schemas.openxmlformats.org/drawingml/2006/main" xmlns:pic="http://schemas.openxmlformats.org/drawingml/2006/picture">
            <wp:extent cx="5762625" cy="2038350"/>
            <wp:docPr id="8" name="Picture 8"/>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5762625" cy="2038350"/>
                    </a:xfrm>
                    <a:prstGeom prst="rect"/>
                  </pic:spPr>
                </pic:pic>
              </a:graphicData>
            </a:graphic>
          </wp:inline>
        </w:drawing>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